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49C7E"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4"/>
        </w:rPr>
        <w:t>COALITION OF ETHIOPIAN CIVIL SOCIETY ORGANIZATIONS FOR ELECTIONS (CECOE)</w:t>
      </w:r>
    </w:p>
    <w:p w14:paraId="4BE44824"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32"/>
        </w:rPr>
        <w:t>FINANCIAL GUIDELINES FOR SUB-GRANT AGREEMENTS</w:t>
      </w:r>
    </w:p>
    <w:p w14:paraId="0FB07A07"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i/>
          <w:color w:val="595959"/>
          <w:sz w:val="20"/>
        </w:rPr>
        <w:t>Companion to the CECOE Sub-Grant Manual — issued to every Sub-Grantee at agreement signature</w:t>
      </w:r>
    </w:p>
    <w:p w14:paraId="00461612" w14:textId="77777777" w:rsidR="00535139" w:rsidRPr="008A305C" w:rsidRDefault="00535139" w:rsidP="008A305C">
      <w:pPr>
        <w:pBdr>
          <w:bottom w:val="single" w:sz="12" w:space="1" w:color="006837"/>
        </w:pBdr>
        <w:jc w:val="both"/>
        <w:rPr>
          <w:rFonts w:ascii="Times New Roman" w:hAnsi="Times New Roman" w:cs="Times New Roman"/>
        </w:rPr>
      </w:pPr>
    </w:p>
    <w:p w14:paraId="1BC95482"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1. Purpose and scope</w:t>
      </w:r>
    </w:p>
    <w:p w14:paraId="15BBB9E6"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These Guidelines set out the minimum financial management standards that every Sub-Grantee must apply when receiving, spending, accounting for and reporting on CECOE sub-grant funds. They form part of the Sub-Grant Agreement and are binding. Where a donor's rules (e.g., GIZ, AFD, FCDO, USAID/NDI) are stricter than these Guidelines, the donor's rules prevail and will be communicated in the Agreement.</w:t>
      </w:r>
    </w:p>
    <w:p w14:paraId="5DD77708"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2. Cost principles</w:t>
      </w:r>
    </w:p>
    <w:p w14:paraId="2DFE5CE0"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Every cost charged to the sub-grant must satisfy all three principles below. Costs that fail any one of them will be disallowed and must be refunded.</w:t>
      </w:r>
    </w:p>
    <w:p w14:paraId="123DD797"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Allowable — the cost is budgeted, related to the project, incurred during the sub-grant period, permitted by these Guidelines and the donor's rules, and adequately documented.</w:t>
      </w:r>
    </w:p>
    <w:p w14:paraId="69848A01"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Reasonable — the price or rate paid is what a prudent person would pay in the same circumstances; the Sub-Grantee must make considerable efforts to obtain the best available price (e.g., through competitive quotations).</w:t>
      </w:r>
    </w:p>
    <w:p w14:paraId="1CAF3383"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Allocable — the cost is incurred specifically for the funded project; where a cost benefits more than one project or donor, only the fair, documented share attributable to this sub-grant may be charged, and the allocation basis must be stated in the Budget Notes.</w:t>
      </w:r>
    </w:p>
    <w:p w14:paraId="0857F8B1"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3. General financial and accounting requirements</w:t>
      </w:r>
    </w:p>
    <w:p w14:paraId="31EC5872"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Maintain clear, accurate and complete records which identify the source and application of all funds received from CECOE. Accounting may be on an accrual or a cash basis, but at a minimum every transaction must be recorded by amount, date, type and purpose.</w:t>
      </w:r>
    </w:p>
    <w:p w14:paraId="5309E574"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Record expenditure by line item exactly as described in the approved grant budget.</w:t>
      </w:r>
    </w:p>
    <w:p w14:paraId="3DB47D64"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Support every accounting record with appropriate source documents (see the matrix in Section 6).</w:t>
      </w:r>
    </w:p>
    <w:p w14:paraId="503B2E88"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Number receipts, cheque and cash book entries in a logical, cross-referenced system.</w:t>
      </w:r>
    </w:p>
    <w:p w14:paraId="09750302"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Maintain effective control over, and be accountable for, all funds, property and other assets supplied by CECOE or purchased with CECOE funds.</w:t>
      </w:r>
    </w:p>
    <w:p w14:paraId="690110E8"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4. Bank accounts, confirmation of bank details and cash management</w:t>
      </w:r>
    </w:p>
    <w:p w14:paraId="68F2826C"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lastRenderedPageBreak/>
        <w:t>Before the first disbursement, submit a completed and bank-stamped CECOE Confirmation of Bank Details form (Template 12), together with a bank letter or void cheque confirming the account. Funds are transferred only to the confirmed account. Any change of bank details must be notified immediately using a new Confirmation of Bank Details form; CECOE will verify changes directly with the authorized representative before acting on them.</w:t>
      </w:r>
    </w:p>
    <w:p w14:paraId="3A8269E3"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Maintain separate financial records of the receipt and expenditure of CECOE funds. For larger sub-grants CECOE may require a separate bank account used solely for CECOE funds.</w:t>
      </w:r>
    </w:p>
    <w:p w14:paraId="3824FE96"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All funds from CECOE are deposited by electronic transfer into the designated bank account and must remain there until needed to carry out project activities.</w:t>
      </w:r>
    </w:p>
    <w:p w14:paraId="7E478127"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Require a minimum of two authorized signatures on cheques and transfers; all withdrawals must be properly authorized and documented.</w:t>
      </w:r>
    </w:p>
    <w:p w14:paraId="1832AC02"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Perform a monthly bank reconciliation and attach it, with the bank statement, to each financial report.</w:t>
      </w:r>
    </w:p>
    <w:p w14:paraId="6AFD7F7F"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Keep petty cash to a minimum, operate it on an imprest basis, and count and reconcile it at least monthly.</w:t>
      </w:r>
    </w:p>
    <w:p w14:paraId="1A1122E0"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Any interest earned on sub-grant funds must be reported and is deductible from subsequent disbursements unless the donor instructs otherwise.</w:t>
      </w:r>
    </w:p>
    <w:p w14:paraId="1E73A90B"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5. Supporting documentation and vouchers</w:t>
      </w:r>
    </w:p>
    <w:p w14:paraId="5628D147"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Every payment must be supported by an approved payment voucher with a unique serial number, attached original invoices/receipts, and evidence of delivery of the goods or services. Where third-party receipts cannot be obtained (small purchases from the informal sector), prepare at the time of purchase a receipt describing the item, amount and date, signed, initialled or thumb-printed by the vendor. Documents must be retained in original form and made available for review, audit or spot checks.</w:t>
      </w:r>
    </w:p>
    <w:p w14:paraId="76F1792A"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6. Supporting documents required per cost type</w:t>
      </w:r>
    </w:p>
    <w:p w14:paraId="28C24170"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i/>
          <w:color w:val="595959"/>
          <w:sz w:val="19"/>
        </w:rPr>
        <w:t>The matrix below states the minimum documentation CECOE expects for each type of cost. Stricter donor rules may add requirements.</w:t>
      </w:r>
    </w:p>
    <w:tbl>
      <w:tblPr>
        <w:tblStyle w:val="TableGrid"/>
        <w:tblW w:w="0" w:type="auto"/>
        <w:jc w:val="center"/>
        <w:tblLayout w:type="fixed"/>
        <w:tblLook w:val="04A0" w:firstRow="1" w:lastRow="0" w:firstColumn="1" w:lastColumn="0" w:noHBand="0" w:noVBand="1"/>
      </w:tblPr>
      <w:tblGrid>
        <w:gridCol w:w="2721"/>
        <w:gridCol w:w="6576"/>
      </w:tblGrid>
      <w:tr w:rsidR="00535139" w:rsidRPr="008A305C" w14:paraId="3876C08B" w14:textId="77777777">
        <w:trPr>
          <w:jc w:val="center"/>
        </w:trPr>
        <w:tc>
          <w:tcPr>
            <w:tcW w:w="2721" w:type="dxa"/>
            <w:shd w:val="clear" w:color="auto" w:fill="006837"/>
          </w:tcPr>
          <w:p w14:paraId="3F551EDC"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FFFFFF"/>
              </w:rPr>
              <w:t>Cost type</w:t>
            </w:r>
          </w:p>
        </w:tc>
        <w:tc>
          <w:tcPr>
            <w:tcW w:w="6576" w:type="dxa"/>
            <w:shd w:val="clear" w:color="auto" w:fill="006837"/>
          </w:tcPr>
          <w:p w14:paraId="3F8DA81A"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FFFFFF"/>
              </w:rPr>
              <w:t>Minimum supporting documents</w:t>
            </w:r>
          </w:p>
        </w:tc>
      </w:tr>
      <w:tr w:rsidR="00535139" w:rsidRPr="008A305C" w14:paraId="4086F5C7" w14:textId="77777777">
        <w:trPr>
          <w:jc w:val="center"/>
        </w:trPr>
        <w:tc>
          <w:tcPr>
            <w:tcW w:w="2721" w:type="dxa"/>
          </w:tcPr>
          <w:p w14:paraId="3EC558D5"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sz w:val="20"/>
              </w:rPr>
              <w:t>Salaries</w:t>
            </w:r>
          </w:p>
        </w:tc>
        <w:tc>
          <w:tcPr>
            <w:tcW w:w="6576" w:type="dxa"/>
          </w:tcPr>
          <w:p w14:paraId="33EDB008"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sz w:val="20"/>
              </w:rPr>
              <w:t>Employment contract; timesheets covering total working time, signed by the employee and supervisor; payroll record showing gross pay, deductions and net pay; proof of payment (bank transfer advice or signed receipt).</w:t>
            </w:r>
          </w:p>
        </w:tc>
      </w:tr>
      <w:tr w:rsidR="00535139" w:rsidRPr="008A305C" w14:paraId="20F9407A" w14:textId="77777777">
        <w:trPr>
          <w:jc w:val="center"/>
        </w:trPr>
        <w:tc>
          <w:tcPr>
            <w:tcW w:w="2721" w:type="dxa"/>
          </w:tcPr>
          <w:p w14:paraId="148FA917"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sz w:val="20"/>
              </w:rPr>
              <w:t>Benefits and taxes</w:t>
            </w:r>
          </w:p>
        </w:tc>
        <w:tc>
          <w:tcPr>
            <w:tcW w:w="6576" w:type="dxa"/>
          </w:tcPr>
          <w:p w14:paraId="66568A01"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sz w:val="20"/>
              </w:rPr>
              <w:t>Certified payroll detailing gross pay, all deductions (benefits and taxes) and net pay; proof of payment of income tax, pension and other statutory contributions to the relevant authority.</w:t>
            </w:r>
          </w:p>
        </w:tc>
      </w:tr>
      <w:tr w:rsidR="00535139" w:rsidRPr="008A305C" w14:paraId="730E1888" w14:textId="77777777">
        <w:trPr>
          <w:jc w:val="center"/>
        </w:trPr>
        <w:tc>
          <w:tcPr>
            <w:tcW w:w="2721" w:type="dxa"/>
          </w:tcPr>
          <w:p w14:paraId="152B4251"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sz w:val="20"/>
              </w:rPr>
              <w:t>Consultants / contractual labour</w:t>
            </w:r>
          </w:p>
        </w:tc>
        <w:tc>
          <w:tcPr>
            <w:tcW w:w="6576" w:type="dxa"/>
          </w:tcPr>
          <w:p w14:paraId="379BE788"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sz w:val="20"/>
              </w:rPr>
              <w:t>Signed contract showing the service, period and payment terms; invoice referencing the contract; deliverables or activity report; proof of payment; withholding tax evidence where applicable.</w:t>
            </w:r>
          </w:p>
        </w:tc>
      </w:tr>
      <w:tr w:rsidR="00535139" w:rsidRPr="008A305C" w14:paraId="41B7BDAC" w14:textId="77777777">
        <w:trPr>
          <w:jc w:val="center"/>
        </w:trPr>
        <w:tc>
          <w:tcPr>
            <w:tcW w:w="2721" w:type="dxa"/>
          </w:tcPr>
          <w:p w14:paraId="7ED00839"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sz w:val="20"/>
              </w:rPr>
              <w:t>Procurement of goods and services</w:t>
            </w:r>
          </w:p>
        </w:tc>
        <w:tc>
          <w:tcPr>
            <w:tcW w:w="6576" w:type="dxa"/>
          </w:tcPr>
          <w:p w14:paraId="0DD8656D"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sz w:val="20"/>
              </w:rPr>
              <w:t>Signed vendor contract or purchase order; competitive quotations and bid analysis above the threshold in Section 9; itemized invoice; goods received note or service completion confirmation; proof of payment.</w:t>
            </w:r>
          </w:p>
        </w:tc>
      </w:tr>
      <w:tr w:rsidR="00535139" w:rsidRPr="008A305C" w14:paraId="081ABFB5" w14:textId="77777777">
        <w:trPr>
          <w:jc w:val="center"/>
        </w:trPr>
        <w:tc>
          <w:tcPr>
            <w:tcW w:w="2721" w:type="dxa"/>
          </w:tcPr>
          <w:p w14:paraId="40F4365E"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sz w:val="20"/>
              </w:rPr>
              <w:t>Office rent</w:t>
            </w:r>
          </w:p>
        </w:tc>
        <w:tc>
          <w:tcPr>
            <w:tcW w:w="6576" w:type="dxa"/>
          </w:tcPr>
          <w:p w14:paraId="73D6878A"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sz w:val="20"/>
              </w:rPr>
              <w:t>Rent contract; monthly invoices; proof of payment; allocation basis if the space is shared with other projects.</w:t>
            </w:r>
          </w:p>
        </w:tc>
      </w:tr>
      <w:tr w:rsidR="00535139" w:rsidRPr="008A305C" w14:paraId="41B6AB84" w14:textId="77777777">
        <w:trPr>
          <w:jc w:val="center"/>
        </w:trPr>
        <w:tc>
          <w:tcPr>
            <w:tcW w:w="2721" w:type="dxa"/>
          </w:tcPr>
          <w:p w14:paraId="05393EED"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sz w:val="20"/>
              </w:rPr>
              <w:t>Utilities</w:t>
            </w:r>
          </w:p>
        </w:tc>
        <w:tc>
          <w:tcPr>
            <w:tcW w:w="6576" w:type="dxa"/>
          </w:tcPr>
          <w:p w14:paraId="002FB81C"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sz w:val="20"/>
              </w:rPr>
              <w:t xml:space="preserve">Full invoices from the utility company (even if only a portion is charged to the </w:t>
            </w:r>
            <w:r w:rsidRPr="008A305C">
              <w:rPr>
                <w:rFonts w:ascii="Times New Roman" w:hAnsi="Times New Roman" w:cs="Times New Roman"/>
                <w:sz w:val="20"/>
              </w:rPr>
              <w:lastRenderedPageBreak/>
              <w:t>grant); proof of payment; allocation percentage.</w:t>
            </w:r>
          </w:p>
        </w:tc>
      </w:tr>
      <w:tr w:rsidR="00535139" w:rsidRPr="008A305C" w14:paraId="5EBEB5F1" w14:textId="77777777">
        <w:trPr>
          <w:jc w:val="center"/>
        </w:trPr>
        <w:tc>
          <w:tcPr>
            <w:tcW w:w="2721" w:type="dxa"/>
          </w:tcPr>
          <w:p w14:paraId="17DEBA47"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sz w:val="20"/>
              </w:rPr>
              <w:lastRenderedPageBreak/>
              <w:t>Supplies</w:t>
            </w:r>
          </w:p>
        </w:tc>
        <w:tc>
          <w:tcPr>
            <w:tcW w:w="6576" w:type="dxa"/>
          </w:tcPr>
          <w:p w14:paraId="569CF70E"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sz w:val="20"/>
              </w:rPr>
              <w:t>Itemized invoices and payment receipts; quotations above the procurement threshold; stock/issue records for bulk purchases.</w:t>
            </w:r>
          </w:p>
        </w:tc>
      </w:tr>
      <w:tr w:rsidR="00535139" w:rsidRPr="008A305C" w14:paraId="7F044EEC" w14:textId="77777777">
        <w:trPr>
          <w:jc w:val="center"/>
        </w:trPr>
        <w:tc>
          <w:tcPr>
            <w:tcW w:w="2721" w:type="dxa"/>
          </w:tcPr>
          <w:p w14:paraId="5556C0EE"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sz w:val="20"/>
              </w:rPr>
              <w:t>Equipment</w:t>
            </w:r>
          </w:p>
        </w:tc>
        <w:tc>
          <w:tcPr>
            <w:tcW w:w="6576" w:type="dxa"/>
          </w:tcPr>
          <w:p w14:paraId="7C345741"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sz w:val="20"/>
              </w:rPr>
              <w:t>Itemized invoice and payment receipt; competitive quotations; entry in the Inventory Schedule (Section 12); equipment ID tag.</w:t>
            </w:r>
          </w:p>
        </w:tc>
      </w:tr>
      <w:tr w:rsidR="00535139" w:rsidRPr="008A305C" w14:paraId="71D92EAD" w14:textId="77777777">
        <w:trPr>
          <w:jc w:val="center"/>
        </w:trPr>
        <w:tc>
          <w:tcPr>
            <w:tcW w:w="2721" w:type="dxa"/>
          </w:tcPr>
          <w:p w14:paraId="6354ACBE"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sz w:val="20"/>
              </w:rPr>
              <w:t>Communication</w:t>
            </w:r>
          </w:p>
        </w:tc>
        <w:tc>
          <w:tcPr>
            <w:tcW w:w="6576" w:type="dxa"/>
          </w:tcPr>
          <w:p w14:paraId="4273DC5A"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sz w:val="20"/>
              </w:rPr>
              <w:t>Full itemized invoices from telephone/internet providers; receipts for courier services; distribution list signed by recipients for airtime/mobile cards.</w:t>
            </w:r>
          </w:p>
        </w:tc>
      </w:tr>
      <w:tr w:rsidR="00535139" w:rsidRPr="008A305C" w14:paraId="24556A6A" w14:textId="77777777">
        <w:trPr>
          <w:jc w:val="center"/>
        </w:trPr>
        <w:tc>
          <w:tcPr>
            <w:tcW w:w="2721" w:type="dxa"/>
          </w:tcPr>
          <w:p w14:paraId="33E095B7"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sz w:val="20"/>
              </w:rPr>
              <w:t>Travel and transport</w:t>
            </w:r>
          </w:p>
        </w:tc>
        <w:tc>
          <w:tcPr>
            <w:tcW w:w="6576" w:type="dxa"/>
          </w:tcPr>
          <w:p w14:paraId="49DC527D"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sz w:val="20"/>
              </w:rPr>
              <w:t>Payment receipts for fares (or internal expenditure voucher where receipts are unavailable); boarding passes and e-tickets for flights; travel authorization; vehicle log for hired vehicles; fuel receipts.</w:t>
            </w:r>
          </w:p>
        </w:tc>
      </w:tr>
      <w:tr w:rsidR="00535139" w:rsidRPr="008A305C" w14:paraId="2B6CC637" w14:textId="77777777">
        <w:trPr>
          <w:jc w:val="center"/>
        </w:trPr>
        <w:tc>
          <w:tcPr>
            <w:tcW w:w="2721" w:type="dxa"/>
          </w:tcPr>
          <w:p w14:paraId="7BE038A6"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sz w:val="20"/>
              </w:rPr>
              <w:t>Per diem and accommodation</w:t>
            </w:r>
          </w:p>
        </w:tc>
        <w:tc>
          <w:tcPr>
            <w:tcW w:w="6576" w:type="dxa"/>
          </w:tcPr>
          <w:p w14:paraId="63EA37D5"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sz w:val="20"/>
              </w:rPr>
              <w:t>Signed per diem list with names, dates, rates and signatures of recipients; hotel invoices and proof of payment; per diem rates per organisational policy or donor guideline.</w:t>
            </w:r>
          </w:p>
        </w:tc>
      </w:tr>
      <w:tr w:rsidR="00535139" w:rsidRPr="008A305C" w14:paraId="3B79CCEA" w14:textId="77777777">
        <w:trPr>
          <w:jc w:val="center"/>
        </w:trPr>
        <w:tc>
          <w:tcPr>
            <w:tcW w:w="2721" w:type="dxa"/>
          </w:tcPr>
          <w:p w14:paraId="06FCEBAC"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sz w:val="20"/>
              </w:rPr>
              <w:t>Workshops, trainings and events</w:t>
            </w:r>
          </w:p>
        </w:tc>
        <w:tc>
          <w:tcPr>
            <w:tcW w:w="6576" w:type="dxa"/>
          </w:tcPr>
          <w:p w14:paraId="2FE9E819"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sz w:val="20"/>
              </w:rPr>
              <w:t>Approved activity request; attendance sheets signed by participants (name, organization, sex, signature); venue/catering invoice and proof of payment; agenda and activity report; photos or other means of verification.</w:t>
            </w:r>
          </w:p>
        </w:tc>
      </w:tr>
      <w:tr w:rsidR="00535139" w:rsidRPr="008A305C" w14:paraId="39335A12" w14:textId="77777777">
        <w:trPr>
          <w:jc w:val="center"/>
        </w:trPr>
        <w:tc>
          <w:tcPr>
            <w:tcW w:w="2721" w:type="dxa"/>
          </w:tcPr>
          <w:p w14:paraId="4AB711F0"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sz w:val="20"/>
              </w:rPr>
              <w:t>Other direct costs (bank fees, insurance)</w:t>
            </w:r>
          </w:p>
        </w:tc>
        <w:tc>
          <w:tcPr>
            <w:tcW w:w="6576" w:type="dxa"/>
          </w:tcPr>
          <w:p w14:paraId="6C37F15C"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sz w:val="20"/>
              </w:rPr>
              <w:t>Bank statement showing the charges; insurance policy and payment evidence; for wire-transfer fees, the difference between the amount sent and the amount received shown on statements.</w:t>
            </w:r>
          </w:p>
        </w:tc>
      </w:tr>
      <w:tr w:rsidR="00535139" w:rsidRPr="008A305C" w14:paraId="7BB7BFF1" w14:textId="77777777">
        <w:trPr>
          <w:jc w:val="center"/>
        </w:trPr>
        <w:tc>
          <w:tcPr>
            <w:tcW w:w="2721" w:type="dxa"/>
          </w:tcPr>
          <w:p w14:paraId="021343ED"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sz w:val="20"/>
              </w:rPr>
              <w:t>Audit fees (where donor-required)</w:t>
            </w:r>
          </w:p>
        </w:tc>
        <w:tc>
          <w:tcPr>
            <w:tcW w:w="6576" w:type="dxa"/>
          </w:tcPr>
          <w:p w14:paraId="38219757"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sz w:val="20"/>
              </w:rPr>
              <w:t>Multiple audit bids and the selection decision with CECOE prior approval; the signed audit contract; the draft and final audit report; proof of payment.</w:t>
            </w:r>
          </w:p>
        </w:tc>
      </w:tr>
    </w:tbl>
    <w:p w14:paraId="534B8180"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7. Allowable and unallowable costs</w:t>
      </w:r>
    </w:p>
    <w:p w14:paraId="12B3FC92"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Costs are allowable when they meet the cost principles in Section 2 and are consistent with the approved budget. The following are always unallowable:</w:t>
      </w:r>
    </w:p>
    <w:p w14:paraId="1DED2430"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Costs incurred before signature of the Sub-Grant Agreement or after its end date (non-retroactivity);</w:t>
      </w:r>
    </w:p>
    <w:p w14:paraId="2D92134A"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Contingency or inflation reserves and provisions for possible future losses;</w:t>
      </w:r>
    </w:p>
    <w:p w14:paraId="57FACD28"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Items already financed by another donor (no double financing);</w:t>
      </w:r>
    </w:p>
    <w:p w14:paraId="4B9D581D"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Fines, penalties, interest owed, and attorney fees arising from disputes;</w:t>
      </w:r>
    </w:p>
    <w:p w14:paraId="6E4A2F8B"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Purchases of land or buildings; personal expenses; alcoholic beverages;</w:t>
      </w:r>
    </w:p>
    <w:p w14:paraId="2F0ECDA0"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Payments to any person or entity appearing on applicable financial sanctions lists;</w:t>
      </w:r>
    </w:p>
    <w:p w14:paraId="65F33CC7"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Administrative expenses above the ceiling set in the Agreement and in Directive No. 847/2021 on Administrative Expenses.</w:t>
      </w:r>
    </w:p>
    <w:p w14:paraId="3F6F8D56"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8. Budget management and variations</w:t>
      </w:r>
    </w:p>
    <w:p w14:paraId="358DFD6D"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The approved budget is the financial expression of the approved activities. Sub-Grantees may vary the use of funds within a budget line as long as funds are spent on project activities and the agreed milestones are still achieved. Material transfers between budget line items (above the flexibility threshold stated in the Agreement, typically 10% of the receiving line) require prior written authorization from CECOE. The total sub-grant amount may never be exceeded. Each budget line must be justified with a brief costing narrative (Budget Notes) showing how the amount was calculated.</w:t>
      </w:r>
    </w:p>
    <w:p w14:paraId="234008A1"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9. Procurement</w:t>
      </w:r>
    </w:p>
    <w:p w14:paraId="6A97CDA5"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lastRenderedPageBreak/>
        <w:t>Follow the Sub-Grantee's own written procurement procedures, provided they meet the minimum standards below; otherwise apply CECOE's procedures.</w:t>
      </w:r>
    </w:p>
    <w:p w14:paraId="5CB925E1"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Obtain at least three written quotations for purchases above the threshold stated in the Agreement; document the selection with a bid analysis signed by a procurement committee.</w:t>
      </w:r>
    </w:p>
    <w:p w14:paraId="45EF1B01"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Purchases must achieve value for money: economy, efficiency and effectiveness.</w:t>
      </w:r>
    </w:p>
    <w:p w14:paraId="00EBCF48"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No contract may be split to avoid procurement thresholds.</w:t>
      </w:r>
    </w:p>
    <w:p w14:paraId="717BAF6E"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Avoid conflicts of interest; any actual or potential conflict must be declared in writing and the person concerned must withdraw from the process (Directive No. 939/2022).</w:t>
      </w:r>
    </w:p>
    <w:p w14:paraId="31060A98"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10. Disbursement of funds</w:t>
      </w:r>
    </w:p>
    <w:p w14:paraId="4FD1435B"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CECOE normally disburses by period (usually quarterly), in amounts necessary to meet the Sub-Grantee's anticipated cash requirements for the ensuing period, as set out in the Financial Requirements Plan. The first disbursement may cover a longer period to allow one month for reporting procedures at the end of each period.</w:t>
      </w:r>
    </w:p>
    <w:p w14:paraId="2A11E79B"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rPr>
        <w:t>For the first disbursement the Sub-Grantee submits:</w:t>
      </w:r>
    </w:p>
    <w:p w14:paraId="0BEEEE38"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A signed Sub-Grant Agreement;</w:t>
      </w:r>
    </w:p>
    <w:p w14:paraId="683583B4"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A completed, bank-stamped Confirmation of Bank Details form (Template 12);</w:t>
      </w:r>
    </w:p>
    <w:p w14:paraId="680A746B"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A completed and signed Request for Disbursement (CECOE Excel template), showing the total grant value and a breakdown by line item of the amount requested;</w:t>
      </w:r>
    </w:p>
    <w:p w14:paraId="74211984"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Any other information CECOE may request to verify the accuracy of the request (pro-forma invoices, copies of bids, justifications).</w:t>
      </w:r>
    </w:p>
    <w:p w14:paraId="34DCC554"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rPr>
        <w:t>For subsequent disbursements the Sub-Grantee submits:</w:t>
      </w:r>
    </w:p>
    <w:p w14:paraId="148B0268"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A completed and signed Request for Disbursement showing the expenditure incurred in each completed period (the template adds these automatically into cumulative expenditure), the balance of funds held, and a breakdown by line item of the amount requested for the coming period;</w:t>
      </w:r>
    </w:p>
    <w:p w14:paraId="33E80FEC"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The financial and narrative reports due for the preceding period, accepted by CECOE.</w:t>
      </w:r>
    </w:p>
    <w:p w14:paraId="68B796CA"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rPr>
        <w:t>Carry-over rule: any unspent balance of funds held by the Sub-Grantee from previous disbursements is deducted from the amount of the next disbursement. The net transfer equals the gross cash requirement for the coming period minus the unspent balance held. The CECOE Request for Disbursement template calculates this automatically from the per-period expenditure entries.</w:t>
      </w:r>
    </w:p>
    <w:p w14:paraId="6620BD37"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Achievement of the milestones in the Sub-Grant Agreement is the key consideration in deciding whether to disburse the next tranche. Disbursements may be limited until CECOE is satisfied that the Sub-Grantee can account effectively for CECOE funds.</w:t>
      </w:r>
    </w:p>
    <w:p w14:paraId="1107CE29"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11. Financial reporting</w:t>
      </w:r>
    </w:p>
    <w:p w14:paraId="737CB2F0"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lastRenderedPageBreak/>
        <w:t>Financial reports must be submitted in the standard CECOE format (MS Excel) according to the schedule in the Sub-Grant Agreement, and at least quarterly. Each report must show, for every budget line: the amount budgeted, the amount disbursed to date, the amount spent in the reporting period, the cumulative amount spent, and the balance remaining. Reports must be accompanied by the breakdown of actual costs (voucher-level detail), the bank reconciliation and bank statement, and a cash projection for the next period. Reports are due within 15 calendar days of the end of the reporting period.</w:t>
      </w:r>
    </w:p>
    <w:p w14:paraId="11E99C4C"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12. Assets and the Inventory Schedule</w:t>
      </w:r>
    </w:p>
    <w:p w14:paraId="4A1DD3DE"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Maintain an Inventory Schedule covering all equipment, supplies of a durable nature and intangible property purchased with sub-grant funds. For each item record: equipment ID number; purchase date; description; make and model; manufacturer serial number; cost in local currency (and donor currency with exchange rate where required); supplier; location; person assigned to; condition; date last updated; and proposed disposition at project end. Update the Schedule whenever assets are acquired, transferred or disposed of, review it at least quarterly, and submit it with the final report. Capital items purchased with CECOE grant funds remain the property of CECOE and may be required to be returned at the end of the grant period; a handover protocol is due at the end of the contract period. Maintain controls over equipment and inventories to prevent unauthorized use.</w:t>
      </w:r>
    </w:p>
    <w:p w14:paraId="7555D7B1"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13. Audit, monitoring and access</w:t>
      </w:r>
    </w:p>
    <w:p w14:paraId="79409EA7"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CECOE, its donors and their auditors have the right, upon reasonable notice, to access the Sub-Grantee's books, records and premises, including on-site visits, to verify representations made in reports. The Sub-Grantee shall cooperate fully with any audit, spot check or expenditure verification and shall address audit findings within the agreed timeframe.</w:t>
      </w:r>
    </w:p>
    <w:p w14:paraId="3F136886"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14. Refunds, close-out and record retention</w:t>
      </w:r>
    </w:p>
    <w:p w14:paraId="669DC042"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Funds obligated but not disbursed, and funds advanced but not expended or legally obligated for an authorized purpose, revert to CECOE at expiry or termination.</w:t>
      </w:r>
    </w:p>
    <w:p w14:paraId="4CE58D2D"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All expenditures against written commitments made during the grant period must be completed within the period stated by CECOE (normally 30–90 days after grant end).</w:t>
      </w:r>
    </w:p>
    <w:p w14:paraId="1D65D217"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The final financial report is due within 30 days after completion of the grant, accompanied by refund of any unused funds and the final Inventory Schedule.</w:t>
      </w:r>
    </w:p>
    <w:p w14:paraId="66396E8E"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Financial close-out will be completed no later than 30 days after expiry or termination.</w:t>
      </w:r>
    </w:p>
    <w:p w14:paraId="44533240"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Retain all financial records for at least five years after delivery of the last Financial Report (and never less than three years).</w:t>
      </w:r>
    </w:p>
    <w:p w14:paraId="46BB93F9"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15. Fraud, corruption and reporting concerns</w:t>
      </w:r>
    </w:p>
    <w:p w14:paraId="25287F51"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 xml:space="preserve">The Sub-Grantee shall not engage in or accept any fraudulent or corrupt practice and shall immediately report any suspicion of mismanagement of funds or prohibited practice to CECOE. Concerns may also be raised confidentially under CECOE's Whistleblowing Policy. CECOE </w:t>
      </w:r>
      <w:r w:rsidRPr="008A305C">
        <w:rPr>
          <w:rFonts w:ascii="Times New Roman" w:hAnsi="Times New Roman" w:cs="Times New Roman"/>
        </w:rPr>
        <w:lastRenderedPageBreak/>
        <w:t>applies zero tolerance: confirmed fraud leads to suspension or termination of the sub-grant and recovery of funds.</w:t>
      </w:r>
    </w:p>
    <w:p w14:paraId="1DA90152"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color w:val="006837"/>
          <w:sz w:val="26"/>
        </w:rPr>
        <w:t>16. Related CECOE templates</w:t>
      </w:r>
    </w:p>
    <w:p w14:paraId="77A477C9"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Budget Template — Budget, Budget Notes and Cash Forecast (Excel)</w:t>
      </w:r>
    </w:p>
    <w:p w14:paraId="7B94416B"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Financial Requirements Plan (Excel)</w:t>
      </w:r>
    </w:p>
    <w:p w14:paraId="019E9931"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Request for Disbursement with automatic carry-over (Excel)</w:t>
      </w:r>
    </w:p>
    <w:p w14:paraId="3C678EE5"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Financial Report — covering note, summary, breakdown, bank reconciliation, cash projection (Excel)</w:t>
      </w:r>
    </w:p>
    <w:p w14:paraId="6BE1B378"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Confirmation of Bank Details (Template 12)</w:t>
      </w:r>
    </w:p>
    <w:p w14:paraId="4CAEE473" w14:textId="77777777" w:rsidR="00535139" w:rsidRPr="008A305C" w:rsidRDefault="00000000" w:rsidP="008A305C">
      <w:pPr>
        <w:pStyle w:val="ListBullet"/>
        <w:jc w:val="both"/>
        <w:rPr>
          <w:rFonts w:ascii="Times New Roman" w:hAnsi="Times New Roman" w:cs="Times New Roman"/>
        </w:rPr>
      </w:pPr>
      <w:r w:rsidRPr="008A305C">
        <w:rPr>
          <w:rFonts w:ascii="Times New Roman" w:hAnsi="Times New Roman" w:cs="Times New Roman"/>
        </w:rPr>
        <w:t>Monitoring and Evaluation Reporting Template (Excel)</w:t>
      </w:r>
    </w:p>
    <w:p w14:paraId="6C7EF24E" w14:textId="77777777" w:rsidR="00535139" w:rsidRPr="008A305C" w:rsidRDefault="00535139" w:rsidP="008A305C">
      <w:pPr>
        <w:jc w:val="both"/>
        <w:rPr>
          <w:rFonts w:ascii="Times New Roman" w:hAnsi="Times New Roman" w:cs="Times New Roman"/>
        </w:rPr>
      </w:pPr>
    </w:p>
    <w:tbl>
      <w:tblPr>
        <w:tblStyle w:val="TableGrid"/>
        <w:tblW w:w="0" w:type="auto"/>
        <w:jc w:val="center"/>
        <w:tblLayout w:type="fixed"/>
        <w:tblLook w:val="04A0" w:firstRow="1" w:lastRow="0" w:firstColumn="1" w:lastColumn="0" w:noHBand="0" w:noVBand="1"/>
      </w:tblPr>
      <w:tblGrid>
        <w:gridCol w:w="4649"/>
        <w:gridCol w:w="4649"/>
      </w:tblGrid>
      <w:tr w:rsidR="00535139" w:rsidRPr="008A305C" w14:paraId="0EFF52F4" w14:textId="77777777">
        <w:trPr>
          <w:jc w:val="center"/>
        </w:trPr>
        <w:tc>
          <w:tcPr>
            <w:tcW w:w="4649" w:type="dxa"/>
            <w:shd w:val="clear" w:color="auto" w:fill="E2EFDA"/>
          </w:tcPr>
          <w:p w14:paraId="5D229511"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rPr>
              <w:t>Acknowledged for the Sub-Grantee</w:t>
            </w:r>
          </w:p>
        </w:tc>
        <w:tc>
          <w:tcPr>
            <w:tcW w:w="4649" w:type="dxa"/>
            <w:shd w:val="clear" w:color="auto" w:fill="E2EFDA"/>
          </w:tcPr>
          <w:p w14:paraId="12BD9B66"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b/>
              </w:rPr>
              <w:t>For CECOE</w:t>
            </w:r>
          </w:p>
        </w:tc>
      </w:tr>
      <w:tr w:rsidR="00535139" w:rsidRPr="008A305C" w14:paraId="7BC6F954" w14:textId="77777777">
        <w:trPr>
          <w:jc w:val="center"/>
        </w:trPr>
        <w:tc>
          <w:tcPr>
            <w:tcW w:w="4649" w:type="dxa"/>
          </w:tcPr>
          <w:p w14:paraId="741E0546"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Name: _______________________________</w:t>
            </w:r>
          </w:p>
        </w:tc>
        <w:tc>
          <w:tcPr>
            <w:tcW w:w="4649" w:type="dxa"/>
          </w:tcPr>
          <w:p w14:paraId="3EBD35D5"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Name: _______________________________</w:t>
            </w:r>
          </w:p>
        </w:tc>
      </w:tr>
      <w:tr w:rsidR="00535139" w:rsidRPr="008A305C" w14:paraId="46D3F78F" w14:textId="77777777">
        <w:trPr>
          <w:jc w:val="center"/>
        </w:trPr>
        <w:tc>
          <w:tcPr>
            <w:tcW w:w="4649" w:type="dxa"/>
          </w:tcPr>
          <w:p w14:paraId="1B57FA43"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Position: ____________________________</w:t>
            </w:r>
          </w:p>
        </w:tc>
        <w:tc>
          <w:tcPr>
            <w:tcW w:w="4649" w:type="dxa"/>
          </w:tcPr>
          <w:p w14:paraId="1928A1CD"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Position: ____________________________</w:t>
            </w:r>
          </w:p>
        </w:tc>
      </w:tr>
      <w:tr w:rsidR="00535139" w:rsidRPr="008A305C" w14:paraId="2DB8B7E3" w14:textId="77777777">
        <w:trPr>
          <w:jc w:val="center"/>
        </w:trPr>
        <w:tc>
          <w:tcPr>
            <w:tcW w:w="4649" w:type="dxa"/>
          </w:tcPr>
          <w:p w14:paraId="4CCD0ABB"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Signature: ___________________________</w:t>
            </w:r>
          </w:p>
        </w:tc>
        <w:tc>
          <w:tcPr>
            <w:tcW w:w="4649" w:type="dxa"/>
          </w:tcPr>
          <w:p w14:paraId="71218358"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Signature: ___________________________</w:t>
            </w:r>
          </w:p>
        </w:tc>
      </w:tr>
      <w:tr w:rsidR="00535139" w:rsidRPr="008A305C" w14:paraId="1D1DFFFD" w14:textId="77777777">
        <w:trPr>
          <w:jc w:val="center"/>
        </w:trPr>
        <w:tc>
          <w:tcPr>
            <w:tcW w:w="4649" w:type="dxa"/>
          </w:tcPr>
          <w:p w14:paraId="22734F1E"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Date: _______________________________</w:t>
            </w:r>
          </w:p>
        </w:tc>
        <w:tc>
          <w:tcPr>
            <w:tcW w:w="4649" w:type="dxa"/>
          </w:tcPr>
          <w:p w14:paraId="3CAEE899" w14:textId="77777777" w:rsidR="00535139" w:rsidRPr="008A305C" w:rsidRDefault="00000000" w:rsidP="008A305C">
            <w:pPr>
              <w:jc w:val="both"/>
              <w:rPr>
                <w:rFonts w:ascii="Times New Roman" w:hAnsi="Times New Roman" w:cs="Times New Roman"/>
              </w:rPr>
            </w:pPr>
            <w:r w:rsidRPr="008A305C">
              <w:rPr>
                <w:rFonts w:ascii="Times New Roman" w:hAnsi="Times New Roman" w:cs="Times New Roman"/>
              </w:rPr>
              <w:t>Date: _______________________________</w:t>
            </w:r>
          </w:p>
        </w:tc>
      </w:tr>
    </w:tbl>
    <w:p w14:paraId="22F24E8D" w14:textId="77777777" w:rsidR="007B112E" w:rsidRPr="008A305C" w:rsidRDefault="007B112E" w:rsidP="008A305C">
      <w:pPr>
        <w:jc w:val="both"/>
        <w:rPr>
          <w:rFonts w:ascii="Times New Roman" w:hAnsi="Times New Roman" w:cs="Times New Roman"/>
        </w:rPr>
      </w:pPr>
    </w:p>
    <w:sectPr w:rsidR="007B112E" w:rsidRPr="008A305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14134628">
    <w:abstractNumId w:val="8"/>
  </w:num>
  <w:num w:numId="2" w16cid:durableId="1728451330">
    <w:abstractNumId w:val="6"/>
  </w:num>
  <w:num w:numId="3" w16cid:durableId="854811584">
    <w:abstractNumId w:val="5"/>
  </w:num>
  <w:num w:numId="4" w16cid:durableId="1361466535">
    <w:abstractNumId w:val="4"/>
  </w:num>
  <w:num w:numId="5" w16cid:durableId="935285159">
    <w:abstractNumId w:val="7"/>
  </w:num>
  <w:num w:numId="6" w16cid:durableId="2013675679">
    <w:abstractNumId w:val="3"/>
  </w:num>
  <w:num w:numId="7" w16cid:durableId="479537375">
    <w:abstractNumId w:val="2"/>
  </w:num>
  <w:num w:numId="8" w16cid:durableId="1026911109">
    <w:abstractNumId w:val="1"/>
  </w:num>
  <w:num w:numId="9" w16cid:durableId="658844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35139"/>
    <w:rsid w:val="007B112E"/>
    <w:rsid w:val="008A305C"/>
    <w:rsid w:val="00AA1D8D"/>
    <w:rsid w:val="00B47730"/>
    <w:rsid w:val="00C51886"/>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A1B545"/>
  <w14:defaultImageDpi w14:val="300"/>
  <w15:docId w15:val="{6DE49209-D57D-4941-B581-66453993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eastAsia="Calibri" w:hAnsi="Calibri"/>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2192</Words>
  <Characters>12498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Yisihak Abebayehu</cp:lastModifiedBy>
  <cp:revision>2</cp:revision>
  <dcterms:created xsi:type="dcterms:W3CDTF">2013-12-23T23:15:00Z</dcterms:created>
  <dcterms:modified xsi:type="dcterms:W3CDTF">2026-07-23T14:23:00Z</dcterms:modified>
  <cp:category/>
</cp:coreProperties>
</file>